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87" w:rsidRDefault="00CF3F87"/>
    <w:p w:rsidR="003E37E7" w:rsidRDefault="003E37E7"/>
    <w:p w:rsidR="003E37E7" w:rsidRDefault="003E37E7"/>
    <w:p w:rsidR="00CC0468" w:rsidRDefault="00CC0468"/>
    <w:p w:rsidR="00CC0468" w:rsidRPr="00CC0468" w:rsidRDefault="00CC0468" w:rsidP="00246673">
      <w:pPr>
        <w:autoSpaceDE/>
        <w:autoSpaceDN/>
        <w:adjustRightInd/>
        <w:ind w:left="-810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T</w:t>
      </w:r>
      <w:r w:rsidRPr="00CC0468">
        <w:rPr>
          <w:b/>
          <w:spacing w:val="-4"/>
          <w:sz w:val="22"/>
          <w:szCs w:val="22"/>
        </w:rPr>
        <w:t>o:</w:t>
      </w:r>
      <w:r w:rsidRPr="00CC0468">
        <w:rPr>
          <w:sz w:val="22"/>
          <w:szCs w:val="22"/>
        </w:rPr>
        <w:tab/>
      </w:r>
      <w:r w:rsidRPr="00CC0468">
        <w:rPr>
          <w:sz w:val="22"/>
          <w:szCs w:val="22"/>
        </w:rPr>
        <w:tab/>
        <w:t>All North Reading Employees</w:t>
      </w:r>
      <w:r w:rsidR="002C5319">
        <w:rPr>
          <w:sz w:val="22"/>
          <w:szCs w:val="22"/>
        </w:rPr>
        <w:t>/</w:t>
      </w:r>
      <w:r w:rsidR="00370275">
        <w:rPr>
          <w:sz w:val="22"/>
          <w:szCs w:val="22"/>
        </w:rPr>
        <w:t xml:space="preserve">Non Medicare </w:t>
      </w:r>
      <w:r w:rsidR="002C5319">
        <w:rPr>
          <w:sz w:val="22"/>
          <w:szCs w:val="22"/>
        </w:rPr>
        <w:t>Retirees</w:t>
      </w:r>
      <w:r w:rsidRPr="00CC0468">
        <w:rPr>
          <w:sz w:val="22"/>
          <w:szCs w:val="22"/>
        </w:rPr>
        <w:t xml:space="preserve"> </w:t>
      </w:r>
    </w:p>
    <w:p w:rsidR="00CC0468" w:rsidRPr="00CC0468" w:rsidRDefault="00CC0468" w:rsidP="00246673">
      <w:pPr>
        <w:autoSpaceDE/>
        <w:autoSpaceDN/>
        <w:adjustRightInd/>
        <w:ind w:left="-810"/>
        <w:rPr>
          <w:sz w:val="22"/>
          <w:szCs w:val="22"/>
        </w:rPr>
      </w:pPr>
      <w:r w:rsidRPr="00CC0468">
        <w:rPr>
          <w:b/>
          <w:spacing w:val="-4"/>
          <w:sz w:val="22"/>
          <w:szCs w:val="22"/>
        </w:rPr>
        <w:t>From:</w:t>
      </w:r>
      <w:r w:rsidRPr="00CC0468">
        <w:rPr>
          <w:sz w:val="22"/>
          <w:szCs w:val="22"/>
        </w:rPr>
        <w:tab/>
      </w:r>
      <w:r w:rsidRPr="00CC0468">
        <w:rPr>
          <w:sz w:val="22"/>
          <w:szCs w:val="22"/>
        </w:rPr>
        <w:tab/>
        <w:t xml:space="preserve">Alyson Olsen, </w:t>
      </w:r>
      <w:r w:rsidR="00A60F4F">
        <w:rPr>
          <w:sz w:val="22"/>
          <w:szCs w:val="22"/>
        </w:rPr>
        <w:t xml:space="preserve">Benefits Coordinator </w:t>
      </w:r>
      <w:r w:rsidRPr="00CC0468">
        <w:rPr>
          <w:sz w:val="22"/>
          <w:szCs w:val="22"/>
        </w:rPr>
        <w:t xml:space="preserve"> </w:t>
      </w:r>
    </w:p>
    <w:p w:rsidR="00CC0468" w:rsidRPr="00CC0468" w:rsidRDefault="00CC0468" w:rsidP="00246673">
      <w:pPr>
        <w:autoSpaceDE/>
        <w:autoSpaceDN/>
        <w:adjustRightInd/>
        <w:ind w:left="-810"/>
        <w:rPr>
          <w:sz w:val="22"/>
          <w:szCs w:val="22"/>
        </w:rPr>
      </w:pPr>
      <w:r w:rsidRPr="00CC0468">
        <w:rPr>
          <w:b/>
          <w:spacing w:val="-4"/>
          <w:sz w:val="22"/>
          <w:szCs w:val="22"/>
        </w:rPr>
        <w:t>Date:</w:t>
      </w:r>
      <w:r w:rsidRPr="00CC0468">
        <w:rPr>
          <w:sz w:val="22"/>
          <w:szCs w:val="22"/>
        </w:rPr>
        <w:tab/>
      </w:r>
      <w:r w:rsidRPr="00CC0468">
        <w:rPr>
          <w:sz w:val="22"/>
          <w:szCs w:val="22"/>
        </w:rPr>
        <w:tab/>
      </w:r>
      <w:r w:rsidR="00A851D7">
        <w:rPr>
          <w:sz w:val="22"/>
          <w:szCs w:val="22"/>
        </w:rPr>
        <w:t>May 2021</w:t>
      </w:r>
    </w:p>
    <w:p w:rsidR="00CC0468" w:rsidRPr="00CC0468" w:rsidRDefault="00CC0468" w:rsidP="00246673">
      <w:pPr>
        <w:autoSpaceDE/>
        <w:autoSpaceDN/>
        <w:adjustRightInd/>
        <w:ind w:left="-810"/>
        <w:rPr>
          <w:sz w:val="22"/>
          <w:szCs w:val="22"/>
        </w:rPr>
      </w:pPr>
      <w:r w:rsidRPr="00CC0468">
        <w:rPr>
          <w:b/>
          <w:spacing w:val="-4"/>
          <w:sz w:val="22"/>
          <w:szCs w:val="22"/>
        </w:rPr>
        <w:t>Re:</w:t>
      </w:r>
      <w:r w:rsidRPr="00CC0468">
        <w:rPr>
          <w:sz w:val="22"/>
          <w:szCs w:val="22"/>
        </w:rPr>
        <w:tab/>
      </w:r>
      <w:r w:rsidRPr="00CC0468">
        <w:rPr>
          <w:sz w:val="22"/>
          <w:szCs w:val="22"/>
        </w:rPr>
        <w:tab/>
        <w:t xml:space="preserve">Group Benefit Plans – </w:t>
      </w:r>
      <w:r w:rsidR="00471CEA">
        <w:rPr>
          <w:sz w:val="22"/>
          <w:szCs w:val="22"/>
        </w:rPr>
        <w:t>July 1, 2021</w:t>
      </w:r>
      <w:r w:rsidRPr="00CC0468">
        <w:rPr>
          <w:sz w:val="22"/>
          <w:szCs w:val="22"/>
        </w:rPr>
        <w:t xml:space="preserve"> – </w:t>
      </w:r>
      <w:r w:rsidR="00DF31FB">
        <w:rPr>
          <w:sz w:val="22"/>
          <w:szCs w:val="22"/>
        </w:rPr>
        <w:t>June 30, 202</w:t>
      </w:r>
      <w:r w:rsidR="00471CEA">
        <w:rPr>
          <w:sz w:val="22"/>
          <w:szCs w:val="22"/>
        </w:rPr>
        <w:t>2</w:t>
      </w:r>
    </w:p>
    <w:p w:rsidR="00010A51" w:rsidRDefault="00010A51" w:rsidP="00246673">
      <w:pPr>
        <w:pBdr>
          <w:top w:val="single" w:sz="4" w:space="1" w:color="auto"/>
        </w:pBdr>
        <w:autoSpaceDE/>
        <w:autoSpaceDN/>
        <w:adjustRightInd/>
        <w:ind w:left="-810"/>
        <w:rPr>
          <w:sz w:val="22"/>
          <w:szCs w:val="22"/>
        </w:rPr>
      </w:pPr>
    </w:p>
    <w:p w:rsidR="005F4184" w:rsidRDefault="009E163B" w:rsidP="009E163B">
      <w:pPr>
        <w:pBdr>
          <w:top w:val="single" w:sz="4" w:space="1" w:color="auto"/>
        </w:pBdr>
        <w:autoSpaceDE/>
        <w:autoSpaceDN/>
        <w:adjustRightInd/>
        <w:ind w:left="-810"/>
        <w:rPr>
          <w:sz w:val="24"/>
          <w:szCs w:val="22"/>
        </w:rPr>
      </w:pPr>
      <w:r>
        <w:rPr>
          <w:sz w:val="24"/>
          <w:szCs w:val="22"/>
        </w:rPr>
        <w:t>T</w:t>
      </w:r>
      <w:r w:rsidRPr="00010A51">
        <w:rPr>
          <w:sz w:val="24"/>
          <w:szCs w:val="22"/>
        </w:rPr>
        <w:t>he Town of North Reading provides and contributes to the Health Insurance program for eligible employees and retirees. The following rates for the Medical and Dental insurance benefi</w:t>
      </w:r>
      <w:r w:rsidR="00DF31FB">
        <w:rPr>
          <w:sz w:val="24"/>
          <w:szCs w:val="22"/>
        </w:rPr>
        <w:t>t</w:t>
      </w:r>
      <w:r w:rsidR="00471CEA">
        <w:rPr>
          <w:sz w:val="24"/>
          <w:szCs w:val="22"/>
        </w:rPr>
        <w:t>s will be effective July 1, 2021</w:t>
      </w:r>
      <w:r w:rsidRPr="00010A51">
        <w:rPr>
          <w:sz w:val="24"/>
          <w:szCs w:val="22"/>
        </w:rPr>
        <w:t xml:space="preserve">. </w:t>
      </w:r>
    </w:p>
    <w:p w:rsidR="005F4184" w:rsidRDefault="005F4184" w:rsidP="009E163B">
      <w:pPr>
        <w:pBdr>
          <w:top w:val="single" w:sz="4" w:space="1" w:color="auto"/>
        </w:pBdr>
        <w:autoSpaceDE/>
        <w:autoSpaceDN/>
        <w:adjustRightInd/>
        <w:ind w:left="-810"/>
        <w:rPr>
          <w:sz w:val="24"/>
          <w:szCs w:val="22"/>
        </w:rPr>
      </w:pPr>
      <w:bookmarkStart w:id="0" w:name="_GoBack"/>
      <w:bookmarkEnd w:id="0"/>
    </w:p>
    <w:p w:rsidR="005F4184" w:rsidRDefault="005F4184" w:rsidP="009E163B">
      <w:pPr>
        <w:pBdr>
          <w:top w:val="single" w:sz="4" w:space="1" w:color="auto"/>
        </w:pBdr>
        <w:autoSpaceDE/>
        <w:autoSpaceDN/>
        <w:adjustRightInd/>
        <w:ind w:left="-810"/>
        <w:rPr>
          <w:sz w:val="24"/>
          <w:szCs w:val="22"/>
        </w:rPr>
      </w:pPr>
    </w:p>
    <w:p w:rsidR="005F4184" w:rsidRDefault="00F0703C" w:rsidP="00F0703C">
      <w:pPr>
        <w:pBdr>
          <w:top w:val="single" w:sz="4" w:space="1" w:color="auto"/>
        </w:pBdr>
        <w:autoSpaceDE/>
        <w:autoSpaceDN/>
        <w:adjustRightInd/>
        <w:ind w:left="-810"/>
        <w:jc w:val="center"/>
        <w:rPr>
          <w:sz w:val="24"/>
          <w:szCs w:val="22"/>
        </w:rPr>
      </w:pPr>
      <w:r w:rsidRPr="00F0703C">
        <w:drawing>
          <wp:inline distT="0" distB="0" distL="0" distR="0">
            <wp:extent cx="6217920" cy="38883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88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4F" w:rsidRDefault="00A60F4F" w:rsidP="00A60F4F">
      <w:pPr>
        <w:autoSpaceDE/>
        <w:autoSpaceDN/>
        <w:adjustRightInd/>
        <w:ind w:right="-504"/>
        <w:rPr>
          <w:sz w:val="22"/>
          <w:szCs w:val="22"/>
        </w:rPr>
      </w:pPr>
    </w:p>
    <w:p w:rsidR="00A60F4F" w:rsidRDefault="00A60F4F" w:rsidP="00246673">
      <w:pPr>
        <w:autoSpaceDE/>
        <w:autoSpaceDN/>
        <w:adjustRightInd/>
        <w:ind w:left="-810" w:right="-504"/>
        <w:rPr>
          <w:sz w:val="22"/>
          <w:szCs w:val="22"/>
        </w:rPr>
      </w:pPr>
    </w:p>
    <w:p w:rsidR="003E37E7" w:rsidRDefault="003E37E7" w:rsidP="00290A6F">
      <w:pPr>
        <w:autoSpaceDE/>
        <w:autoSpaceDN/>
        <w:adjustRightInd/>
        <w:jc w:val="center"/>
        <w:rPr>
          <w:i/>
          <w:szCs w:val="22"/>
        </w:rPr>
      </w:pPr>
    </w:p>
    <w:p w:rsidR="003E37E7" w:rsidRDefault="003E37E7" w:rsidP="00290A6F">
      <w:pPr>
        <w:autoSpaceDE/>
        <w:autoSpaceDN/>
        <w:adjustRightInd/>
        <w:jc w:val="center"/>
        <w:rPr>
          <w:i/>
          <w:szCs w:val="22"/>
        </w:rPr>
      </w:pPr>
    </w:p>
    <w:p w:rsidR="003E37E7" w:rsidRDefault="003E37E7" w:rsidP="00290A6F">
      <w:pPr>
        <w:autoSpaceDE/>
        <w:autoSpaceDN/>
        <w:adjustRightInd/>
        <w:jc w:val="center"/>
        <w:rPr>
          <w:i/>
          <w:szCs w:val="22"/>
        </w:rPr>
      </w:pPr>
    </w:p>
    <w:p w:rsidR="003E37E7" w:rsidRDefault="003E37E7" w:rsidP="00290A6F">
      <w:pPr>
        <w:autoSpaceDE/>
        <w:autoSpaceDN/>
        <w:adjustRightInd/>
        <w:jc w:val="center"/>
        <w:rPr>
          <w:i/>
          <w:szCs w:val="22"/>
        </w:rPr>
      </w:pPr>
    </w:p>
    <w:p w:rsidR="003E37E7" w:rsidRDefault="003E37E7" w:rsidP="00290A6F">
      <w:pPr>
        <w:autoSpaceDE/>
        <w:autoSpaceDN/>
        <w:adjustRightInd/>
        <w:jc w:val="center"/>
        <w:rPr>
          <w:i/>
          <w:szCs w:val="22"/>
        </w:rPr>
      </w:pPr>
    </w:p>
    <w:p w:rsidR="003E37E7" w:rsidRDefault="003E37E7" w:rsidP="00290A6F">
      <w:pPr>
        <w:autoSpaceDE/>
        <w:autoSpaceDN/>
        <w:adjustRightInd/>
        <w:jc w:val="center"/>
        <w:rPr>
          <w:i/>
          <w:szCs w:val="22"/>
        </w:rPr>
      </w:pPr>
    </w:p>
    <w:p w:rsidR="00CC0468" w:rsidRDefault="00CC0468" w:rsidP="00290A6F">
      <w:pPr>
        <w:autoSpaceDE/>
        <w:autoSpaceDN/>
        <w:adjustRightInd/>
        <w:jc w:val="center"/>
        <w:rPr>
          <w:i/>
          <w:szCs w:val="22"/>
        </w:rPr>
      </w:pPr>
      <w:r w:rsidRPr="00290A6F">
        <w:rPr>
          <w:i/>
          <w:szCs w:val="22"/>
        </w:rPr>
        <w:t xml:space="preserve">Rates Effective </w:t>
      </w:r>
      <w:r w:rsidR="00A851D7">
        <w:rPr>
          <w:i/>
          <w:szCs w:val="22"/>
        </w:rPr>
        <w:t>7/1/21</w:t>
      </w:r>
    </w:p>
    <w:p w:rsidR="00CC0468" w:rsidRDefault="00CC0468" w:rsidP="00CC0468">
      <w:pPr>
        <w:autoSpaceDE/>
        <w:autoSpaceDN/>
        <w:adjustRightInd/>
        <w:rPr>
          <w:sz w:val="22"/>
          <w:szCs w:val="22"/>
        </w:rPr>
      </w:pPr>
    </w:p>
    <w:sectPr w:rsidR="00CC0468" w:rsidSect="005F4184">
      <w:footerReference w:type="default" r:id="rId8"/>
      <w:headerReference w:type="first" r:id="rId9"/>
      <w:footerReference w:type="first" r:id="rId10"/>
      <w:pgSz w:w="12240" w:h="15840" w:code="1"/>
      <w:pgMar w:top="1728" w:right="1152" w:bottom="576" w:left="1152" w:header="288" w:footer="144" w:gutter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FC" w:rsidRDefault="00297BFC">
      <w:r>
        <w:separator/>
      </w:r>
    </w:p>
  </w:endnote>
  <w:endnote w:type="continuationSeparator" w:id="0">
    <w:p w:rsidR="00297BFC" w:rsidRDefault="0029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48"/>
      <w:gridCol w:w="1800"/>
      <w:gridCol w:w="4284"/>
    </w:tblGrid>
    <w:tr w:rsidR="00CF3F87" w:rsidRPr="00716510" w:rsidTr="00716510">
      <w:tc>
        <w:tcPr>
          <w:tcW w:w="9432" w:type="dxa"/>
          <w:gridSpan w:val="3"/>
          <w:shd w:val="clear" w:color="auto" w:fill="auto"/>
        </w:tcPr>
        <w:p w:rsidR="00CF3F87" w:rsidRDefault="00CF3F87" w:rsidP="00716510">
          <w:pPr>
            <w:tabs>
              <w:tab w:val="left" w:pos="705"/>
              <w:tab w:val="center" w:pos="4608"/>
            </w:tabs>
          </w:pPr>
        </w:p>
      </w:tc>
    </w:tr>
    <w:tr w:rsidR="00CF3F87" w:rsidTr="00716510">
      <w:tc>
        <w:tcPr>
          <w:tcW w:w="3348" w:type="dxa"/>
          <w:shd w:val="clear" w:color="auto" w:fill="auto"/>
        </w:tcPr>
        <w:p w:rsidR="00CF3F87" w:rsidRDefault="00CF3F87" w:rsidP="00716510">
          <w:pPr>
            <w:jc w:val="right"/>
          </w:pPr>
        </w:p>
      </w:tc>
      <w:tc>
        <w:tcPr>
          <w:tcW w:w="1800" w:type="dxa"/>
          <w:shd w:val="clear" w:color="auto" w:fill="auto"/>
          <w:tcMar>
            <w:left w:w="43" w:type="dxa"/>
            <w:right w:w="43" w:type="dxa"/>
          </w:tcMar>
        </w:tcPr>
        <w:p w:rsidR="00CF3F87" w:rsidRDefault="00CF3F87" w:rsidP="00716510">
          <w:pPr>
            <w:jc w:val="center"/>
          </w:pPr>
        </w:p>
      </w:tc>
      <w:tc>
        <w:tcPr>
          <w:tcW w:w="4284" w:type="dxa"/>
          <w:shd w:val="clear" w:color="auto" w:fill="auto"/>
        </w:tcPr>
        <w:p w:rsidR="00CF3F87" w:rsidRDefault="00CF3F87"/>
      </w:tc>
    </w:tr>
  </w:tbl>
  <w:p w:rsidR="00CF3F87" w:rsidRDefault="00CF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48"/>
      <w:gridCol w:w="1800"/>
      <w:gridCol w:w="4284"/>
    </w:tblGrid>
    <w:tr w:rsidR="00CF3F87" w:rsidRPr="00716510" w:rsidTr="00716510">
      <w:tc>
        <w:tcPr>
          <w:tcW w:w="9432" w:type="dxa"/>
          <w:gridSpan w:val="3"/>
          <w:shd w:val="clear" w:color="auto" w:fill="auto"/>
        </w:tcPr>
        <w:p w:rsidR="00CF3F87" w:rsidRDefault="00CF3F87" w:rsidP="00716510">
          <w:pPr>
            <w:tabs>
              <w:tab w:val="left" w:pos="705"/>
              <w:tab w:val="center" w:pos="4608"/>
            </w:tabs>
          </w:pPr>
          <w:r>
            <w:tab/>
          </w:r>
          <w:r>
            <w:tab/>
            <w:t>235 North Street, North Reading, MA  01864</w:t>
          </w:r>
        </w:p>
      </w:tc>
    </w:tr>
    <w:tr w:rsidR="00CF3F87" w:rsidTr="00716510">
      <w:tc>
        <w:tcPr>
          <w:tcW w:w="3348" w:type="dxa"/>
          <w:shd w:val="clear" w:color="auto" w:fill="auto"/>
        </w:tcPr>
        <w:p w:rsidR="00CF3F87" w:rsidRDefault="00CF3F87" w:rsidP="00716510">
          <w:pPr>
            <w:jc w:val="right"/>
          </w:pPr>
          <w:r>
            <w:t>Tel: 978.357.5265</w:t>
          </w:r>
        </w:p>
      </w:tc>
      <w:tc>
        <w:tcPr>
          <w:tcW w:w="1800" w:type="dxa"/>
          <w:shd w:val="clear" w:color="auto" w:fill="auto"/>
          <w:tcMar>
            <w:left w:w="43" w:type="dxa"/>
            <w:right w:w="43" w:type="dxa"/>
          </w:tcMar>
        </w:tcPr>
        <w:p w:rsidR="00CF3F87" w:rsidRDefault="002C5319" w:rsidP="00716510">
          <w:pPr>
            <w:jc w:val="center"/>
          </w:pPr>
          <w:r>
            <w:t>Fax: 978.357.5273</w:t>
          </w:r>
        </w:p>
      </w:tc>
      <w:tc>
        <w:tcPr>
          <w:tcW w:w="4284" w:type="dxa"/>
          <w:shd w:val="clear" w:color="auto" w:fill="auto"/>
        </w:tcPr>
        <w:p w:rsidR="00CF3F87" w:rsidRDefault="00CF3F87">
          <w:r>
            <w:t>Web:  www.northreadingma.gov</w:t>
          </w:r>
        </w:p>
      </w:tc>
    </w:tr>
  </w:tbl>
  <w:p w:rsidR="00CF3F87" w:rsidRDefault="00CF3F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FC" w:rsidRDefault="00297BFC">
      <w:r>
        <w:separator/>
      </w:r>
    </w:p>
  </w:footnote>
  <w:footnote w:type="continuationSeparator" w:id="0">
    <w:p w:rsidR="00297BFC" w:rsidRDefault="0029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5" w:type="dxa"/>
      <w:tblInd w:w="-915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1440"/>
      <w:gridCol w:w="9285"/>
    </w:tblGrid>
    <w:tr w:rsidR="00CF3F87" w:rsidRPr="00716510" w:rsidTr="00A83EAD">
      <w:tc>
        <w:tcPr>
          <w:tcW w:w="1440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CF3F87" w:rsidRPr="00716510" w:rsidRDefault="00A73799" w:rsidP="00716510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885825" cy="971550"/>
                <wp:effectExtent l="0" t="0" r="0" b="0"/>
                <wp:docPr id="1" name="Picture 1" descr="NR-TownSe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R-TownSe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5" w:type="dxa"/>
          <w:shd w:val="clear" w:color="auto" w:fill="auto"/>
        </w:tcPr>
        <w:p w:rsidR="00CF3F87" w:rsidRPr="00716510" w:rsidRDefault="00CF3F87" w:rsidP="00716510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</w:p>
      </w:tc>
    </w:tr>
    <w:tr w:rsidR="00CF3F87" w:rsidRPr="00716510" w:rsidTr="00A83EAD">
      <w:trPr>
        <w:trHeight w:val="360"/>
      </w:trPr>
      <w:tc>
        <w:tcPr>
          <w:tcW w:w="1440" w:type="dxa"/>
          <w:vMerge/>
          <w:shd w:val="clear" w:color="auto" w:fill="auto"/>
        </w:tcPr>
        <w:p w:rsidR="00CF3F87" w:rsidRPr="00716510" w:rsidRDefault="00CF3F87" w:rsidP="00716510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9285" w:type="dxa"/>
          <w:shd w:val="clear" w:color="auto" w:fill="auto"/>
          <w:vAlign w:val="bottom"/>
        </w:tcPr>
        <w:p w:rsidR="00CF3F87" w:rsidRPr="00716510" w:rsidRDefault="00CF3F87" w:rsidP="00716510">
          <w:pPr>
            <w:pStyle w:val="BodyTextIndent"/>
            <w:ind w:left="0"/>
            <w:jc w:val="right"/>
            <w:rPr>
              <w:rFonts w:ascii="Times New Roman" w:hAnsi="Times New Roman" w:cs="Times New Roman"/>
              <w:b/>
              <w:sz w:val="30"/>
              <w:szCs w:val="28"/>
            </w:rPr>
          </w:pPr>
          <w:r w:rsidRPr="00716510">
            <w:rPr>
              <w:rFonts w:ascii="Times New Roman" w:hAnsi="Times New Roman" w:cs="Times New Roman"/>
              <w:b/>
              <w:sz w:val="30"/>
              <w:szCs w:val="28"/>
            </w:rPr>
            <w:t>TOWN of NORTH READING</w:t>
          </w:r>
        </w:p>
      </w:tc>
    </w:tr>
    <w:tr w:rsidR="00CF3F87" w:rsidTr="00A83EAD">
      <w:trPr>
        <w:trHeight w:val="360"/>
      </w:trPr>
      <w:tc>
        <w:tcPr>
          <w:tcW w:w="1440" w:type="dxa"/>
          <w:vMerge/>
          <w:shd w:val="clear" w:color="auto" w:fill="auto"/>
        </w:tcPr>
        <w:p w:rsidR="00CF3F87" w:rsidRPr="00716510" w:rsidRDefault="00CF3F87" w:rsidP="00716510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9285" w:type="dxa"/>
          <w:shd w:val="clear" w:color="auto" w:fill="auto"/>
          <w:vAlign w:val="bottom"/>
        </w:tcPr>
        <w:p w:rsidR="00CF3F87" w:rsidRPr="00716510" w:rsidRDefault="00CF3F87" w:rsidP="00716510">
          <w:pPr>
            <w:pStyle w:val="BodyTextIndent"/>
            <w:ind w:left="0"/>
            <w:jc w:val="right"/>
            <w:rPr>
              <w:rFonts w:ascii="Times New Roman" w:hAnsi="Times New Roman" w:cs="Times New Roman"/>
              <w:b/>
              <w:sz w:val="30"/>
              <w:szCs w:val="28"/>
            </w:rPr>
          </w:pPr>
          <w:r w:rsidRPr="00716510">
            <w:rPr>
              <w:rFonts w:ascii="Times New Roman" w:hAnsi="Times New Roman" w:cs="Times New Roman"/>
              <w:i/>
              <w:sz w:val="26"/>
              <w:szCs w:val="24"/>
            </w:rPr>
            <w:t>Massachusetts</w:t>
          </w:r>
        </w:p>
      </w:tc>
    </w:tr>
    <w:tr w:rsidR="00CF3F87" w:rsidRPr="00716510" w:rsidTr="00A83EAD">
      <w:trPr>
        <w:trHeight w:val="90"/>
      </w:trPr>
      <w:tc>
        <w:tcPr>
          <w:tcW w:w="1440" w:type="dxa"/>
          <w:vMerge/>
          <w:tcBorders>
            <w:bottom w:val="single" w:sz="18" w:space="0" w:color="auto"/>
          </w:tcBorders>
          <w:shd w:val="clear" w:color="auto" w:fill="auto"/>
        </w:tcPr>
        <w:p w:rsidR="00CF3F87" w:rsidRPr="00716510" w:rsidRDefault="00CF3F87" w:rsidP="00716510">
          <w:pPr>
            <w:pStyle w:val="BodyTextIndent"/>
            <w:ind w:left="0" w:firstLine="0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9285" w:type="dxa"/>
          <w:tcBorders>
            <w:bottom w:val="single" w:sz="18" w:space="0" w:color="auto"/>
          </w:tcBorders>
          <w:shd w:val="clear" w:color="auto" w:fill="auto"/>
          <w:vAlign w:val="bottom"/>
        </w:tcPr>
        <w:p w:rsidR="00CF3F87" w:rsidRPr="00716510" w:rsidRDefault="00CF3F87" w:rsidP="00716510">
          <w:pPr>
            <w:pStyle w:val="BodyTextIndent"/>
            <w:ind w:left="0" w:firstLine="0"/>
            <w:jc w:val="right"/>
            <w:rPr>
              <w:rFonts w:ascii="Times New Roman" w:hAnsi="Times New Roman" w:cs="Times New Roman"/>
              <w:b/>
              <w:sz w:val="26"/>
              <w:szCs w:val="24"/>
            </w:rPr>
          </w:pPr>
          <w:r w:rsidRPr="00716510">
            <w:rPr>
              <w:rFonts w:ascii="Times New Roman" w:hAnsi="Times New Roman" w:cs="Times New Roman"/>
              <w:b/>
              <w:sz w:val="26"/>
              <w:szCs w:val="24"/>
            </w:rPr>
            <w:t>Human Resources</w:t>
          </w:r>
        </w:p>
      </w:tc>
    </w:tr>
    <w:tr w:rsidR="00CF3F87" w:rsidRPr="00716510" w:rsidTr="00A83EAD">
      <w:tc>
        <w:tcPr>
          <w:tcW w:w="10725" w:type="dxa"/>
          <w:gridSpan w:val="2"/>
          <w:tcBorders>
            <w:top w:val="single" w:sz="18" w:space="0" w:color="auto"/>
            <w:bottom w:val="nil"/>
          </w:tcBorders>
          <w:shd w:val="clear" w:color="auto" w:fill="auto"/>
          <w:tcMar>
            <w:left w:w="43" w:type="dxa"/>
            <w:right w:w="115" w:type="dxa"/>
          </w:tcMar>
        </w:tcPr>
        <w:p w:rsidR="00CF3F87" w:rsidRPr="00716510" w:rsidRDefault="00CF3F87" w:rsidP="00716510">
          <w:pPr>
            <w:pStyle w:val="BodyTextIndent"/>
            <w:ind w:left="0" w:firstLine="0"/>
            <w:rPr>
              <w:rFonts w:ascii="Times New Roman" w:hAnsi="Times New Roman" w:cs="Times New Roman"/>
              <w:b/>
              <w:sz w:val="26"/>
              <w:szCs w:val="24"/>
            </w:rPr>
          </w:pPr>
          <w:r w:rsidRPr="00716510">
            <w:rPr>
              <w:rFonts w:ascii="Times New Roman" w:hAnsi="Times New Roman" w:cs="Times New Roman"/>
              <w:b/>
              <w:sz w:val="22"/>
              <w:szCs w:val="22"/>
            </w:rPr>
            <w:t>Alyson Olsen</w:t>
          </w:r>
        </w:p>
        <w:p w:rsidR="00CF3F87" w:rsidRPr="00716510" w:rsidRDefault="00782BEA" w:rsidP="00716510">
          <w:pPr>
            <w:pStyle w:val="BodyTextIndent"/>
            <w:ind w:left="0" w:firstLine="0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Benefits Coordinator</w:t>
          </w:r>
        </w:p>
      </w:tc>
    </w:tr>
  </w:tbl>
  <w:p w:rsidR="00CF3F87" w:rsidRDefault="00CF3F87">
    <w:pPr>
      <w:pStyle w:val="Header"/>
      <w:jc w:val="center"/>
      <w:rPr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ACD5F6"/>
    <w:lvl w:ilvl="0">
      <w:numFmt w:val="bullet"/>
      <w:lvlText w:val="*"/>
      <w:lvlJc w:val="left"/>
    </w:lvl>
  </w:abstractNum>
  <w:abstractNum w:abstractNumId="1" w15:restartNumberingAfterBreak="0">
    <w:nsid w:val="1D6A1EEB"/>
    <w:multiLevelType w:val="hybridMultilevel"/>
    <w:tmpl w:val="ACD04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4662"/>
    <w:multiLevelType w:val="hybridMultilevel"/>
    <w:tmpl w:val="D6F04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730A6"/>
    <w:multiLevelType w:val="multilevel"/>
    <w:tmpl w:val="1CC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C7F1A"/>
    <w:multiLevelType w:val="hybridMultilevel"/>
    <w:tmpl w:val="C87605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4C"/>
    <w:rsid w:val="00002D48"/>
    <w:rsid w:val="00010A51"/>
    <w:rsid w:val="00023105"/>
    <w:rsid w:val="000B12F1"/>
    <w:rsid w:val="001C5652"/>
    <w:rsid w:val="001F0B32"/>
    <w:rsid w:val="00206782"/>
    <w:rsid w:val="00231DFD"/>
    <w:rsid w:val="0023254C"/>
    <w:rsid w:val="00246673"/>
    <w:rsid w:val="00282A02"/>
    <w:rsid w:val="00290A6F"/>
    <w:rsid w:val="00297A82"/>
    <w:rsid w:val="00297BFC"/>
    <w:rsid w:val="002B239C"/>
    <w:rsid w:val="002C5319"/>
    <w:rsid w:val="002C78C1"/>
    <w:rsid w:val="002E082C"/>
    <w:rsid w:val="002E5A83"/>
    <w:rsid w:val="003005CA"/>
    <w:rsid w:val="0031324C"/>
    <w:rsid w:val="00347063"/>
    <w:rsid w:val="00370275"/>
    <w:rsid w:val="00383ED6"/>
    <w:rsid w:val="003E37E7"/>
    <w:rsid w:val="00430EB2"/>
    <w:rsid w:val="00470097"/>
    <w:rsid w:val="00471CEA"/>
    <w:rsid w:val="004836A9"/>
    <w:rsid w:val="004E5604"/>
    <w:rsid w:val="005350F1"/>
    <w:rsid w:val="00562374"/>
    <w:rsid w:val="00563724"/>
    <w:rsid w:val="005B28F9"/>
    <w:rsid w:val="005C7A3C"/>
    <w:rsid w:val="005D0FA0"/>
    <w:rsid w:val="005F4184"/>
    <w:rsid w:val="00673B48"/>
    <w:rsid w:val="006C2765"/>
    <w:rsid w:val="006C7D54"/>
    <w:rsid w:val="00715E7C"/>
    <w:rsid w:val="00716510"/>
    <w:rsid w:val="00740E1A"/>
    <w:rsid w:val="00756BA1"/>
    <w:rsid w:val="00771BE6"/>
    <w:rsid w:val="00782BEA"/>
    <w:rsid w:val="007E4644"/>
    <w:rsid w:val="007F3DF1"/>
    <w:rsid w:val="00844EC0"/>
    <w:rsid w:val="00884638"/>
    <w:rsid w:val="008B5FF1"/>
    <w:rsid w:val="008E29ED"/>
    <w:rsid w:val="008E497D"/>
    <w:rsid w:val="00913B30"/>
    <w:rsid w:val="00995E0E"/>
    <w:rsid w:val="009C591F"/>
    <w:rsid w:val="009E163B"/>
    <w:rsid w:val="009E4629"/>
    <w:rsid w:val="009F3A27"/>
    <w:rsid w:val="00A46457"/>
    <w:rsid w:val="00A53D3E"/>
    <w:rsid w:val="00A60F4F"/>
    <w:rsid w:val="00A73799"/>
    <w:rsid w:val="00A83EAD"/>
    <w:rsid w:val="00A851D7"/>
    <w:rsid w:val="00AE4581"/>
    <w:rsid w:val="00B33DD4"/>
    <w:rsid w:val="00B50161"/>
    <w:rsid w:val="00B63714"/>
    <w:rsid w:val="00BA79D4"/>
    <w:rsid w:val="00BC396E"/>
    <w:rsid w:val="00BD78EB"/>
    <w:rsid w:val="00C626BD"/>
    <w:rsid w:val="00CB35A3"/>
    <w:rsid w:val="00CB5C7F"/>
    <w:rsid w:val="00CC0468"/>
    <w:rsid w:val="00CF3F87"/>
    <w:rsid w:val="00D20E56"/>
    <w:rsid w:val="00D211FD"/>
    <w:rsid w:val="00DD1470"/>
    <w:rsid w:val="00DF31FB"/>
    <w:rsid w:val="00E25498"/>
    <w:rsid w:val="00E809D0"/>
    <w:rsid w:val="00E95A65"/>
    <w:rsid w:val="00ED2FAC"/>
    <w:rsid w:val="00F0703C"/>
    <w:rsid w:val="00F31049"/>
    <w:rsid w:val="00F709D1"/>
    <w:rsid w:val="00F837AB"/>
    <w:rsid w:val="00F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428BDD-EF1D-40E9-ACCF-1027375B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widowControl w:val="0"/>
      <w:ind w:left="720" w:hanging="720"/>
      <w:jc w:val="both"/>
    </w:pPr>
    <w:rPr>
      <w:rFonts w:ascii="Arial" w:hAnsi="Arial" w:cs="Arial"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autoSpaceDE/>
      <w:autoSpaceDN/>
      <w:adjustRightInd/>
      <w:spacing w:before="100" w:beforeAutospacing="1" w:after="100" w:afterAutospacing="1"/>
      <w:ind w:firstLine="200"/>
    </w:pPr>
    <w:rPr>
      <w:sz w:val="24"/>
      <w:szCs w:val="24"/>
    </w:rPr>
  </w:style>
  <w:style w:type="character" w:customStyle="1" w:styleId="contentunderlined1">
    <w:name w:val="contentunderlined1"/>
    <w:rPr>
      <w:rFonts w:ascii="Verdana" w:hAnsi="Verdana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 Reading, MA</Company>
  <LinksUpToDate>false</LinksUpToDate>
  <CharactersWithSpaces>431</CharactersWithSpaces>
  <SharedDoc>false</SharedDoc>
  <HLinks>
    <vt:vector size="6" baseType="variant"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http://www.hrconnection.com/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S Tworek</dc:creator>
  <cp:lastModifiedBy>Alyson Olsen</cp:lastModifiedBy>
  <cp:revision>2</cp:revision>
  <cp:lastPrinted>2017-05-23T14:40:00Z</cp:lastPrinted>
  <dcterms:created xsi:type="dcterms:W3CDTF">2021-05-03T18:56:00Z</dcterms:created>
  <dcterms:modified xsi:type="dcterms:W3CDTF">2021-05-03T18:56:00Z</dcterms:modified>
</cp:coreProperties>
</file>